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00A55" w14:paraId="2CCDC71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019056" w14:textId="77777777" w:rsidR="00600A55" w:rsidRDefault="00D116F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D0B1266" w14:textId="77777777" w:rsidR="00600A55" w:rsidRDefault="00D116F2">
            <w:pPr>
              <w:spacing w:after="0" w:line="240" w:lineRule="auto"/>
            </w:pPr>
            <w:r>
              <w:t>21359</w:t>
            </w:r>
          </w:p>
        </w:tc>
      </w:tr>
      <w:tr w:rsidR="00600A55" w14:paraId="129F94E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5CB1AC" w14:textId="77777777" w:rsidR="00600A55" w:rsidRDefault="00D116F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8190348" w14:textId="77777777" w:rsidR="00600A55" w:rsidRDefault="00D116F2">
            <w:pPr>
              <w:spacing w:after="0" w:line="240" w:lineRule="auto"/>
            </w:pPr>
            <w:r>
              <w:t>OSNOVNA ŠKOLA ERNESTINOVO</w:t>
            </w:r>
          </w:p>
        </w:tc>
      </w:tr>
      <w:tr w:rsidR="00600A55" w14:paraId="0620F39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215C02" w14:textId="77777777" w:rsidR="00600A55" w:rsidRDefault="00D116F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DD381A3" w14:textId="77777777" w:rsidR="00600A55" w:rsidRDefault="00D116F2">
            <w:pPr>
              <w:spacing w:after="0" w:line="240" w:lineRule="auto"/>
            </w:pPr>
            <w:r>
              <w:t>31</w:t>
            </w:r>
          </w:p>
        </w:tc>
      </w:tr>
    </w:tbl>
    <w:p w14:paraId="392D326F" w14:textId="77777777" w:rsidR="00600A55" w:rsidRDefault="00D116F2">
      <w:r>
        <w:br/>
      </w:r>
    </w:p>
    <w:p w14:paraId="15F4929C" w14:textId="77777777" w:rsidR="00600A55" w:rsidRDefault="00D116F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2A92CAF" w14:textId="77777777" w:rsidR="00600A55" w:rsidRDefault="00D116F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F241064" w14:textId="77777777" w:rsidR="00600A55" w:rsidRDefault="00D116F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595857F" w14:textId="77777777" w:rsidR="00600A55" w:rsidRDefault="00600A55"/>
    <w:p w14:paraId="042F49AF" w14:textId="77777777" w:rsidR="00600A55" w:rsidRDefault="00D116F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52A6B75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4DBA1A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939C6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A4BB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70C0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49DD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81745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1ADE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36886B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D786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07331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FD0C7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9420D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1.541.663,14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7CBF4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1.266.558,19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84AC0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82,2</w:t>
            </w:r>
          </w:p>
        </w:tc>
      </w:tr>
      <w:tr w:rsidR="00600A55" w14:paraId="30EE31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194E7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A3D09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430F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6BA5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1.299.503,67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749D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1.346.615,87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8735B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  <w:tr w:rsidR="00600A55" w14:paraId="3847EA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B40D1" w14:textId="77777777" w:rsidR="00600A55" w:rsidRDefault="00600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26E0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34BFE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7467B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7DC95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80.057,68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642A7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00A55" w14:paraId="0791DF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3630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B4F3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A25D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A08BC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E0284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3633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0A55" w14:paraId="526ED3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C7171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8A2A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435F7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6FAAE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234.303,83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BB6A8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B35E0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  <w:tr w:rsidR="00600A55" w14:paraId="71F827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E0839" w14:textId="77777777" w:rsidR="00600A55" w:rsidRDefault="00600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E29DB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8846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C8AEC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234.303,83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A489B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32.582,70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01B67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13,9</w:t>
            </w:r>
          </w:p>
        </w:tc>
      </w:tr>
      <w:tr w:rsidR="00600A55" w14:paraId="08A262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3127D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92FBC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90F79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35612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9C47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2A721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0A55" w14:paraId="33C2F4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0377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D18BC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AE732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44F98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E394F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9634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0A55" w14:paraId="78F99A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1BF81" w14:textId="77777777" w:rsidR="00600A55" w:rsidRDefault="00600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CA136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17D4C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07691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18E17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4EB0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00A55" w14:paraId="3ED164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BDF3C" w14:textId="77777777" w:rsidR="00600A55" w:rsidRDefault="00600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FAE94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93CEE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3562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2CA190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112.640,38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EB5CD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2197759" w14:textId="77777777" w:rsidR="00600A55" w:rsidRDefault="00600A55">
      <w:pPr>
        <w:spacing w:after="0"/>
      </w:pPr>
    </w:p>
    <w:p w14:paraId="26043AFE" w14:textId="77777777" w:rsidR="00600A55" w:rsidRDefault="00D116F2">
      <w:r>
        <w:t>Osnovna škola Ernestinovo javna je ustanova koja obavlja djelatnost osnovnog odgoja i</w:t>
      </w:r>
      <w:r>
        <w:br/>
        <w:t xml:space="preserve">obrazovanja u skladu s </w:t>
      </w:r>
      <w:proofErr w:type="spellStart"/>
      <w:r>
        <w:t>važečim</w:t>
      </w:r>
      <w:proofErr w:type="spellEnd"/>
      <w:r>
        <w:t xml:space="preserve"> zakonskim propisima. Djelatnost škole uređena je Zakonom o</w:t>
      </w:r>
      <w:r>
        <w:br/>
        <w:t>odgoju i obrazovanju u osnovnoj i srednjoj školi, dok se odredbe Zakona o ustano</w:t>
      </w:r>
      <w:r>
        <w:t>vama i drugih</w:t>
      </w:r>
      <w:r>
        <w:br/>
        <w:t>relevantnih propisa primjenjuju na rad škole u dijelu koji nije drugačije uređen navedenim</w:t>
      </w:r>
      <w:r>
        <w:br/>
        <w:t>zakonom.</w:t>
      </w:r>
      <w:r>
        <w:br/>
        <w:t>Odgovorna osoba za poslovanje škole je ravnatelj Damir Škrlec, prof.</w:t>
      </w:r>
      <w:r>
        <w:br/>
      </w:r>
      <w:r>
        <w:lastRenderedPageBreak/>
        <w:t>U razdoblju od siječnja do prosinca 2025. godine ostvareni rashodi bili s</w:t>
      </w:r>
      <w:r>
        <w:t>u veći  od prihoda, što je </w:t>
      </w:r>
      <w:r>
        <w:br/>
        <w:t>rezultiralo nastankom manjka.</w:t>
      </w:r>
      <w:r>
        <w:br/>
        <w:t>Manjak prihoda i primitaka posljedica je primjene Novog pravilnika o proračunskom računovodstvu</w:t>
      </w:r>
      <w:r>
        <w:br/>
        <w:t>(Narodne novine, br.158/2023.i 154/2024.), koji se počeo primjenjivati u knjigovodstvenim</w:t>
      </w:r>
      <w:r>
        <w:br/>
        <w:t>evidencijama</w:t>
      </w:r>
      <w:r>
        <w:t xml:space="preserve"> od 1. siječnja 2025. godine, a zbog čega se u financijskim izvještajima iskazuje trošak</w:t>
      </w:r>
      <w:r>
        <w:br/>
        <w:t>jedne dodatne plaće.</w:t>
      </w:r>
      <w:r>
        <w:br/>
        <w:t xml:space="preserve">Za sastavljanje Bilješki uz financijsko izvješće odgovorna je Mirela Crljen, voditeljica </w:t>
      </w:r>
      <w:proofErr w:type="spellStart"/>
      <w:r>
        <w:t>radunovodstva</w:t>
      </w:r>
      <w:proofErr w:type="spellEnd"/>
      <w:r>
        <w:t>.</w:t>
      </w:r>
      <w:r>
        <w:br/>
        <w:t xml:space="preserve">Financijsko izvješće usvaja Školski odbor </w:t>
      </w:r>
      <w:r>
        <w:t>na prijedlog ravnatelja.</w:t>
      </w:r>
      <w:r>
        <w:br/>
        <w:t xml:space="preserve">Osnovna škola nema </w:t>
      </w:r>
      <w:proofErr w:type="spellStart"/>
      <w:r>
        <w:t>primitika</w:t>
      </w:r>
      <w:proofErr w:type="spellEnd"/>
      <w:r>
        <w:t xml:space="preserve"> od financijske imovine i zaduživanja  kao i izdataka za otplatu glavnice primljenih kredita i zajmova . Škola se nije zaduživala u 2025 godini.</w:t>
      </w:r>
      <w:r>
        <w:br/>
        <w:t>Škola nema sudskih sporova u tijeku. </w:t>
      </w:r>
    </w:p>
    <w:p w14:paraId="0B57FBD2" w14:textId="77777777" w:rsidR="00600A55" w:rsidRDefault="00D116F2">
      <w:r>
        <w:br/>
      </w:r>
    </w:p>
    <w:p w14:paraId="49644DBA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06CCF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6B961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28BCB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99E25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4E28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272D0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B6A62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016586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9591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AAE306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45511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04417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230.699,49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D11B2B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15.609,39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C2148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6,8</w:t>
            </w:r>
          </w:p>
        </w:tc>
      </w:tr>
    </w:tbl>
    <w:p w14:paraId="2EF01593" w14:textId="77777777" w:rsidR="00600A55" w:rsidRDefault="00600A55">
      <w:pPr>
        <w:spacing w:after="0"/>
      </w:pPr>
    </w:p>
    <w:p w14:paraId="4B78725B" w14:textId="77777777" w:rsidR="00600A55" w:rsidRDefault="00D116F2">
      <w:r>
        <w:t>Škola je uključena u CDŠ. Budući da je prošle godine dobila sredstva za opremanje, ove godine dodijeljen je manji iznos.</w:t>
      </w:r>
    </w:p>
    <w:p w14:paraId="66C7FD1D" w14:textId="77777777" w:rsidR="00600A55" w:rsidRDefault="00600A55"/>
    <w:p w14:paraId="214620D9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31E7AB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6DA1C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A1D4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1A34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1B215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9C0EC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AE9CA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6A1A55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95A69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CE442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9C6D1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D0550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86.800,54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1892F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117.669,53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88F9C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14:paraId="0F3E880E" w14:textId="77777777" w:rsidR="00600A55" w:rsidRDefault="00600A55">
      <w:pPr>
        <w:spacing w:after="0"/>
      </w:pPr>
    </w:p>
    <w:p w14:paraId="6CF645DE" w14:textId="77777777" w:rsidR="00600A55" w:rsidRDefault="00D116F2">
      <w:r>
        <w:t>Prihodi iz nadležnog proračuna za financiranje rashoda poslovanja znatno su veći nego prošle godine, ponajprije zbog rasta cijena uzrokovanog inflacijom.</w:t>
      </w:r>
    </w:p>
    <w:p w14:paraId="3EE34C1C" w14:textId="77777777" w:rsidR="00600A55" w:rsidRDefault="00600A55"/>
    <w:p w14:paraId="30EBAEC1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7620AD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C011F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3E86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70DE9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D655A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6395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36E70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3EEE85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5C01D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80900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E377D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3A53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1.002.629,96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694B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1.112.551,94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3E0A9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14:paraId="5F7F360C" w14:textId="77777777" w:rsidR="00600A55" w:rsidRDefault="00600A55">
      <w:pPr>
        <w:spacing w:after="0"/>
      </w:pPr>
    </w:p>
    <w:p w14:paraId="2E494E77" w14:textId="77777777" w:rsidR="00600A55" w:rsidRDefault="00D116F2">
      <w:r>
        <w:t>Rashodi za zaposlene veći su u odnosu na prethodnu godinu (s 1.002.629,96 EUR na 1.112.551,94 EUR) zbog primjene novog Pravilnika o proračunskom računovodstvu (Narodne novine 158/2023 i 154/2024).</w:t>
      </w:r>
    </w:p>
    <w:p w14:paraId="4D53F87B" w14:textId="77777777" w:rsidR="00600A55" w:rsidRDefault="00600A55"/>
    <w:p w14:paraId="29706AF0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68745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35460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8C2E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95A6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DF66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20D0E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BAAC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2B7565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F4E98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E70C2F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B67A6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43FD2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137.007,74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12013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153.277,28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84900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51C40444" w14:textId="77777777" w:rsidR="00600A55" w:rsidRDefault="00600A55">
      <w:pPr>
        <w:spacing w:after="0"/>
      </w:pPr>
    </w:p>
    <w:p w14:paraId="67E48EF3" w14:textId="77777777" w:rsidR="00600A55" w:rsidRDefault="00D116F2">
      <w:r>
        <w:t>Doprinosi za plaće povećani su u odnosu na prethodnu godinu (s 137.007,74 EUR na 153.277,28 EUR) kao posljedica rasta bruto plaća zaposlenih.</w:t>
      </w:r>
    </w:p>
    <w:p w14:paraId="464CEFD8" w14:textId="77777777" w:rsidR="00600A55" w:rsidRDefault="00600A55"/>
    <w:p w14:paraId="109A1D12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0C139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9E8BA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1C8F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86C3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BB5A5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61F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F3791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7F7C57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E4731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E0EED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F51B1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DEAF7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BC7BE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9.866,35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A9ED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397,1</w:t>
            </w:r>
          </w:p>
        </w:tc>
      </w:tr>
    </w:tbl>
    <w:p w14:paraId="602D08F8" w14:textId="77777777" w:rsidR="00600A55" w:rsidRDefault="00600A55">
      <w:pPr>
        <w:spacing w:after="0"/>
      </w:pPr>
    </w:p>
    <w:p w14:paraId="3ABE0BB4" w14:textId="77777777" w:rsidR="00600A55" w:rsidRDefault="00D116F2">
      <w:r>
        <w:t>Povećanje rashoda za intelektualne usluge odnosi se na veći opseg poslova zaštite na radu te povećanje naknada po ugovoru o djelu, sukladno zakonskim obvezama i rastu cijena usluga.</w:t>
      </w:r>
    </w:p>
    <w:p w14:paraId="27D3CAAA" w14:textId="77777777" w:rsidR="00600A55" w:rsidRDefault="00600A55"/>
    <w:p w14:paraId="0312A02C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45626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7653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3CA46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3CC9A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CFC60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AACD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59642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3CB6D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293BE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AD7D5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6F13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118A8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75.447,14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BD605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81.621,70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E7AB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4E4FFC9C" w14:textId="77777777" w:rsidR="00600A55" w:rsidRDefault="00600A55">
      <w:pPr>
        <w:spacing w:after="0"/>
      </w:pPr>
    </w:p>
    <w:p w14:paraId="6D9AD0C6" w14:textId="77777777" w:rsidR="00600A55" w:rsidRDefault="00D116F2">
      <w:r>
        <w:t>Rast ostalih nespomenutih rashoda (s 75.447,14 EUR na 81.621,70 EUR) najviše se odnosi na ulazak škole u CDŠ, uz manji udio rasta uzrokovan povećanjem cijena roba i usluga.</w:t>
      </w:r>
    </w:p>
    <w:p w14:paraId="67482F8B" w14:textId="77777777" w:rsidR="00600A55" w:rsidRDefault="00600A55"/>
    <w:p w14:paraId="5754CBD3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2FC0FC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C3FCE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8C01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E0EB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86771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51A6A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32F7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1D0879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2DA1E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C65E62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F92E5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324FF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234.303,83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F2142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B938E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</w:tbl>
    <w:p w14:paraId="6924D4BA" w14:textId="77777777" w:rsidR="00600A55" w:rsidRDefault="00600A55">
      <w:pPr>
        <w:spacing w:after="0"/>
      </w:pPr>
    </w:p>
    <w:p w14:paraId="4501CBA5" w14:textId="77777777" w:rsidR="00600A55" w:rsidRDefault="00D116F2">
      <w:r>
        <w:t xml:space="preserve">Rashodi za nabavu proizvedene dugotrajne imovine smanjeni su u odnosu na prethodnu godinu (s 234.303,83 EUR na 32.582,70 EUR), što se najvećim dijelom odnosi na to da je prošle godine izvršena nabavka </w:t>
      </w:r>
      <w:proofErr w:type="spellStart"/>
      <w:r>
        <w:t>autobila</w:t>
      </w:r>
      <w:proofErr w:type="spellEnd"/>
      <w:r>
        <w:t>, dok su ove godine rashodi znatno manji.</w:t>
      </w:r>
    </w:p>
    <w:p w14:paraId="70EE5E3E" w14:textId="77777777" w:rsidR="00600A55" w:rsidRDefault="00600A55"/>
    <w:p w14:paraId="03A2608C" w14:textId="77777777" w:rsidR="00600A55" w:rsidRDefault="00D116F2">
      <w:pPr>
        <w:keepNext/>
        <w:spacing w:line="240" w:lineRule="auto"/>
        <w:jc w:val="center"/>
      </w:pPr>
      <w:r>
        <w:rPr>
          <w:b/>
          <w:sz w:val="28"/>
        </w:rPr>
        <w:t>Bila</w:t>
      </w:r>
      <w:r>
        <w:rPr>
          <w:b/>
          <w:sz w:val="28"/>
        </w:rPr>
        <w:t>nca</w:t>
      </w:r>
    </w:p>
    <w:p w14:paraId="075E7D41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39A861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7E866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B7D5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3C50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B4CC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D4BF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7AB6E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68BDE4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42E9C" w14:textId="77777777" w:rsidR="00600A55" w:rsidRDefault="00600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CC847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C08B6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6FB72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914.132,17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917A8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1.005.344,59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D80AB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57F50906" w14:textId="77777777" w:rsidR="00600A55" w:rsidRDefault="00600A55">
      <w:pPr>
        <w:spacing w:after="0"/>
      </w:pPr>
    </w:p>
    <w:p w14:paraId="6E68204A" w14:textId="77777777" w:rsidR="00600A55" w:rsidRDefault="00D116F2">
      <w:r>
        <w:t>Imovina iskazana u obrascu Bilanca (914.132,17 EUR → 1.005.344,59 EUR) evidentira se sukladno članku 19. Pravilnika o proračunskom računovodstvu. Vrijednost dugotrajne imovine ispravlja se prosječnom godišnjom stopom linearnom metodom, a iznimno se vrijedn</w:t>
      </w:r>
      <w:r>
        <w:t>ost prirodnih bogatstava, podskupine 011, vodi zasebno. </w:t>
      </w:r>
    </w:p>
    <w:p w14:paraId="2BABB36A" w14:textId="77777777" w:rsidR="00600A55" w:rsidRDefault="00600A55"/>
    <w:p w14:paraId="750EBF26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34874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8063F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4790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3C8BA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85079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4338C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A4E3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2776E4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43F19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057999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imovina (šifre '021 i 02921' + '022 i 02922' + '023 i 02923' + </w:t>
            </w:r>
            <w:r>
              <w:rPr>
                <w:sz w:val="18"/>
              </w:rPr>
              <w:t>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6C26B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D428F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665.947,94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F50EC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794.249,15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059EF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14:paraId="17249D82" w14:textId="77777777" w:rsidR="00600A55" w:rsidRDefault="00600A55">
      <w:pPr>
        <w:spacing w:after="0"/>
      </w:pPr>
    </w:p>
    <w:p w14:paraId="72BB3B25" w14:textId="77777777" w:rsidR="00600A55" w:rsidRDefault="00D116F2">
      <w:r>
        <w:t>Nefinancijska imovina  povećana je u odnosu na siječanj, sa 776.167,59 EUR na 904.468,80 EUR. Povećanje vrijednosti prvenstveno se odnosi na zgrade te adaptaciju dvorane i kuhinje. Dodatno, zaprimili smo rješenje od Županije o prijenosu vrijednosti. Imovin</w:t>
      </w:r>
      <w:r>
        <w:t>a iskazana u obrascu Bilanca </w:t>
      </w:r>
    </w:p>
    <w:p w14:paraId="13D9001E" w14:textId="77777777" w:rsidR="00600A55" w:rsidRDefault="00600A55"/>
    <w:p w14:paraId="06E6342D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0DDBE5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C5B71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CE79F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EBC5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C3FE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D5DA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DF77B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4CD8F9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3D1B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1B95D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11B18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960B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269.995,46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0A6E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313.131,81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F8B8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3AEDA726" w14:textId="77777777" w:rsidR="00600A55" w:rsidRDefault="00600A55">
      <w:pPr>
        <w:spacing w:after="0"/>
      </w:pPr>
    </w:p>
    <w:p w14:paraId="4A323AD7" w14:textId="77777777" w:rsidR="00600A55" w:rsidRDefault="00D116F2">
      <w:r>
        <w:t>Ispravak vrijednosti strojeva i opreme povećan je s 269.995,46 EUR na 313.131,81 EUR zbog obračuna redovne amortizacije i prilagodbe vrijednosti opreme sukladno Pravilniku o proračunskom računovodstvu.</w:t>
      </w:r>
    </w:p>
    <w:p w14:paraId="04082260" w14:textId="77777777" w:rsidR="00600A55" w:rsidRDefault="00600A55"/>
    <w:p w14:paraId="471B6F4D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1AD134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9C02F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E6B11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E5A85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38E1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EBFCE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10532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01F4A9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0E9A8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0B0E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EF304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DD8B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79.563,60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FAC6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6205E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21322E4" w14:textId="77777777" w:rsidR="00600A55" w:rsidRDefault="00600A55">
      <w:pPr>
        <w:spacing w:after="0"/>
      </w:pPr>
    </w:p>
    <w:p w14:paraId="532E5C32" w14:textId="77777777" w:rsidR="00600A55" w:rsidRDefault="00D116F2">
      <w:r>
        <w:t>Sukladno članku 233. Pravilnika o proračunskom računovodstvu i računskom planu, podskupina 193 se ukida.</w:t>
      </w:r>
    </w:p>
    <w:p w14:paraId="3493D311" w14:textId="77777777" w:rsidR="00600A55" w:rsidRDefault="00600A55"/>
    <w:p w14:paraId="2614F20B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10A34E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652B0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ED05F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CD3AF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1AE20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1DB6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A560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6FE659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42CB8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4847C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poslovanja - </w:t>
            </w:r>
            <w:r>
              <w:rPr>
                <w:sz w:val="18"/>
              </w:rPr>
              <w:t>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B4344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066B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13A3E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44C78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FCEAA3" w14:textId="77777777" w:rsidR="00600A55" w:rsidRDefault="00600A55">
      <w:pPr>
        <w:spacing w:after="0"/>
      </w:pPr>
    </w:p>
    <w:p w14:paraId="6BC25F3B" w14:textId="77777777" w:rsidR="00600A55" w:rsidRDefault="00D116F2">
      <w:r>
        <w:t>Manjak iz prethodnih razdoblja rezultat je dvostruke uplate fakture, koja je sada evidentirana kao manjak.</w:t>
      </w:r>
    </w:p>
    <w:p w14:paraId="1ACC498E" w14:textId="77777777" w:rsidR="00600A55" w:rsidRDefault="00600A55"/>
    <w:p w14:paraId="2A2E8E73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0D075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B9EA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25471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E62D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2D29B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671DA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AA77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57C272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6078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AC21A8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Potencijalne obveze po osnovi </w:t>
            </w:r>
            <w:r>
              <w:rPr>
                <w:sz w:val="18"/>
              </w:rPr>
              <w:t>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412DB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439D2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AF419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32F83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B193BE" w14:textId="77777777" w:rsidR="00600A55" w:rsidRDefault="00600A55">
      <w:pPr>
        <w:spacing w:after="0"/>
      </w:pPr>
    </w:p>
    <w:p w14:paraId="0C7DB7EB" w14:textId="77777777" w:rsidR="00600A55" w:rsidRDefault="00D116F2">
      <w:r>
        <w:t>Prema članku 15. Pravilnika o financijskom izvješćivanju, OŠ Ernestinovo trenutno nema sudskih sporova u tijeku.</w:t>
      </w:r>
    </w:p>
    <w:p w14:paraId="4E056852" w14:textId="77777777" w:rsidR="00600A55" w:rsidRDefault="00600A55"/>
    <w:p w14:paraId="407FE33D" w14:textId="77777777" w:rsidR="00600A55" w:rsidRDefault="00D116F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53D5FA6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2EA24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B178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28709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33AD0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40F8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4C9AB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98939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4725E7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D850C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E5D230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D3116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0F4ED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1.533.807,50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1236E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1.379.198,57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90C34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89,9</w:t>
            </w:r>
          </w:p>
        </w:tc>
      </w:tr>
    </w:tbl>
    <w:p w14:paraId="1422A3B5" w14:textId="77777777" w:rsidR="00600A55" w:rsidRDefault="00600A55">
      <w:pPr>
        <w:spacing w:after="0"/>
      </w:pPr>
    </w:p>
    <w:p w14:paraId="0FEF21FC" w14:textId="77777777" w:rsidR="00600A55" w:rsidRDefault="00D116F2">
      <w:r>
        <w:t xml:space="preserve">U obrascu su iskazani rashodi poslovanja za nabavu </w:t>
      </w:r>
      <w:proofErr w:type="spellStart"/>
      <w:r>
        <w:t>nefi</w:t>
      </w:r>
      <w:proofErr w:type="spellEnd"/>
      <w:r>
        <w:t xml:space="preserve"> imovine, razvrstani prema njihovoj namjeni. Isti podatak prikazan je i na poziciji Y034 obrasca PR-RAS. Prema tumačenju Ministarstva znanosti, svi rashodi ostvareni u 2025. godini, bez prenesenog rezu</w:t>
      </w:r>
      <w:r>
        <w:t>ltata, iskazuju se pod jednom funkcijom – funkcijom 09 Obrazovanje.</w:t>
      </w:r>
    </w:p>
    <w:p w14:paraId="63F7821B" w14:textId="77777777" w:rsidR="00600A55" w:rsidRDefault="00600A55"/>
    <w:p w14:paraId="2947438A" w14:textId="77777777" w:rsidR="00600A55" w:rsidRDefault="00D116F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DF6D708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00A55" w14:paraId="1DA56C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415D6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69AF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3E90C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039B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3F35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ADE7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245CF3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87D1E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24DC1E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obujmu imovine </w:t>
            </w:r>
            <w:r>
              <w:rPr>
                <w:sz w:val="18"/>
              </w:rPr>
              <w:t>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D13E3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0ACA7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186.853,53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C5D8F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91.135,02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DF71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48,8</w:t>
            </w:r>
          </w:p>
        </w:tc>
      </w:tr>
    </w:tbl>
    <w:p w14:paraId="1CF2FD0E" w14:textId="77777777" w:rsidR="00600A55" w:rsidRDefault="00600A55">
      <w:pPr>
        <w:spacing w:after="0"/>
      </w:pPr>
    </w:p>
    <w:p w14:paraId="30E2C9DE" w14:textId="77777777" w:rsidR="00600A55" w:rsidRDefault="00D116F2">
      <w:r>
        <w:t>*Novi Pravilnik o proračunskom računovodstvu i računskom planu primjenjuje se u knjigovodstvenim evidencijama od 1. siječnja 2025. godine. Pravilnik propisuje, kao i dosadašnji, primjenu modificiranog računovodstvenog načela nastanka događaja – nabavna vri</w:t>
      </w:r>
      <w:r>
        <w:t>jednost imovine iskazuje se kao rashod u trenutku nabave.</w:t>
      </w:r>
    </w:p>
    <w:p w14:paraId="076723F1" w14:textId="77777777" w:rsidR="00600A55" w:rsidRDefault="00D116F2">
      <w:r>
        <w:t>Tijekom korištenja imovine obračunava se ispravak vrijednosti, koji ne tereti rashode, već se evidentira na teret vlastitih izvora. Time se osigurava pravilno i zakonito financijsko praćenje imovine</w:t>
      </w:r>
      <w:r>
        <w:t xml:space="preserve"> u proračunskom sustavu. Knjigovodstveno evidentiranje ispravka vrijednosti dugotrajne imovine provodi se preko osnovnog računa 91511 – Promjene u vrijednosti imovine.*</w:t>
      </w:r>
    </w:p>
    <w:p w14:paraId="1ADA834F" w14:textId="77777777" w:rsidR="00600A55" w:rsidRDefault="00600A55"/>
    <w:p w14:paraId="4BEC2E5D" w14:textId="77777777" w:rsidR="00600A55" w:rsidRDefault="00D116F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EBB7642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00A55" w14:paraId="58D2AB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49EF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32D2B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89062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7B73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BF0D4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600A55" w14:paraId="175DEC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C9625" w14:textId="77777777" w:rsidR="00600A55" w:rsidRDefault="00600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8D351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FCE5F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D0DC6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610C3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4C4DB0" w14:textId="77777777" w:rsidR="00600A55" w:rsidRDefault="00600A55">
      <w:pPr>
        <w:spacing w:after="0"/>
      </w:pPr>
    </w:p>
    <w:p w14:paraId="4F4D00F3" w14:textId="77777777" w:rsidR="00600A55" w:rsidRDefault="00D116F2">
      <w:r>
        <w:t xml:space="preserve">Stanje dospjelih obveza na kraju </w:t>
      </w:r>
      <w:proofErr w:type="spellStart"/>
      <w:r>
        <w:t>izvještajnogg</w:t>
      </w:r>
      <w:proofErr w:type="spellEnd"/>
      <w:r>
        <w:t xml:space="preserve"> razdoblja je 0 </w:t>
      </w:r>
      <w:proofErr w:type="spellStart"/>
      <w:r>
        <w:t>eur</w:t>
      </w:r>
      <w:proofErr w:type="spellEnd"/>
      <w:r>
        <w:t>, što znači da su sve obveze uredno podmirene.</w:t>
      </w:r>
    </w:p>
    <w:p w14:paraId="582A43F7" w14:textId="77777777" w:rsidR="00600A55" w:rsidRDefault="00600A55"/>
    <w:p w14:paraId="687E44D4" w14:textId="77777777" w:rsidR="00600A55" w:rsidRDefault="00D116F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00A55" w14:paraId="674DAC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35AA6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95FC8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4E73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A86F7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88EDD" w14:textId="77777777" w:rsidR="00600A55" w:rsidRDefault="00D116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0A55" w14:paraId="02A3EC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D1FD9" w14:textId="77777777" w:rsidR="00600A55" w:rsidRDefault="00600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B8E1E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</w:t>
            </w:r>
            <w:r>
              <w:rPr>
                <w:sz w:val="18"/>
              </w:rPr>
              <w:t>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7D6EA" w14:textId="77777777" w:rsidR="00600A55" w:rsidRDefault="00D116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C8375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95.582,48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BFF0A" w14:textId="77777777" w:rsidR="00600A55" w:rsidRDefault="00D116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C0BAA8" w14:textId="77777777" w:rsidR="00600A55" w:rsidRDefault="00600A55">
      <w:pPr>
        <w:spacing w:after="0"/>
      </w:pPr>
    </w:p>
    <w:p w14:paraId="2DC5A9BC" w14:textId="77777777" w:rsidR="00600A55" w:rsidRDefault="00D116F2">
      <w:r>
        <w:t>Stanje je nedospjelih obveza na kraju obračunskog razdoblja ( plaća za 12. mjesec 2025. koja</w:t>
      </w:r>
      <w:r>
        <w:br/>
      </w:r>
      <w:r>
        <w:t>dospijeva 01..2026.) i obveze za ostale materijalne rashode, financijske rashode, ostale tekuće</w:t>
      </w:r>
      <w:r>
        <w:br/>
        <w:t>obveze koje dospijevaju tijekom 2026. godine.</w:t>
      </w:r>
    </w:p>
    <w:p w14:paraId="130D4E97" w14:textId="77777777" w:rsidR="00600A55" w:rsidRDefault="00600A55"/>
    <w:sectPr w:rsidR="0060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55"/>
    <w:rsid w:val="00600A55"/>
    <w:rsid w:val="00D1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EA03"/>
  <w15:docId w15:val="{2FA9C2B4-4DF2-45A8-89C8-75DFC878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1500</Words>
  <Characters>8555</Characters>
  <Application>Microsoft Office Word</Application>
  <DocSecurity>0</DocSecurity>
  <Lines>71</Lines>
  <Paragraphs>20</Paragraphs>
  <ScaleCrop>false</ScaleCrop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Mirela Crljen</cp:lastModifiedBy>
  <cp:revision>2</cp:revision>
  <dcterms:created xsi:type="dcterms:W3CDTF">2026-02-05T07:28:00Z</dcterms:created>
  <dcterms:modified xsi:type="dcterms:W3CDTF">2026-02-05T07:28:00Z</dcterms:modified>
</cp:coreProperties>
</file>